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0039D" w14:textId="4DCC9645" w:rsidR="008C529B" w:rsidRPr="00706F43" w:rsidRDefault="00325033" w:rsidP="4665250A">
      <w:pPr>
        <w:tabs>
          <w:tab w:val="left" w:pos="-1080"/>
          <w:tab w:val="left" w:pos="-720"/>
          <w:tab w:val="left" w:pos="1080"/>
        </w:tabs>
        <w:jc w:val="center"/>
        <w:rPr>
          <w:rFonts w:ascii="Times New Roman" w:eastAsia="PMingLiU" w:hAnsi="Times New Roman" w:cs="Times New Roman"/>
          <w:b/>
          <w:bCs/>
          <w:snapToGrid w:val="0"/>
          <w:szCs w:val="24"/>
        </w:rPr>
      </w:pPr>
      <w:r>
        <w:rPr>
          <w:rFonts w:ascii="Times New Roman" w:eastAsia="PMingLiU" w:hAnsi="Times New Roman"/>
          <w:b/>
          <w:bCs/>
          <w:snapToGrid w:val="0"/>
          <w:szCs w:val="24"/>
        </w:rPr>
        <w:t>PAM REHABILITATION HOSPTIAL OF ROUND ROCK</w:t>
      </w:r>
    </w:p>
    <w:p w14:paraId="003783F1" w14:textId="77777777" w:rsidR="008C529B" w:rsidRPr="00706F43" w:rsidRDefault="008C529B" w:rsidP="008C529B">
      <w:pPr>
        <w:tabs>
          <w:tab w:val="left" w:pos="-1080"/>
          <w:tab w:val="left" w:pos="-720"/>
          <w:tab w:val="left" w:pos="1080"/>
        </w:tabs>
        <w:jc w:val="center"/>
        <w:rPr>
          <w:rFonts w:ascii="Times New Roman" w:eastAsia="Times New Roman" w:hAnsi="Times New Roman" w:cs="Times New Roman"/>
          <w:b/>
          <w:snapToGrid w:val="0"/>
          <w:szCs w:val="24"/>
          <w:u w:val="single"/>
        </w:rPr>
      </w:pPr>
    </w:p>
    <w:p w14:paraId="6CCD6939" w14:textId="77777777" w:rsidR="008C529B" w:rsidRPr="00706F43" w:rsidRDefault="008C529B" w:rsidP="008C529B">
      <w:pPr>
        <w:jc w:val="center"/>
        <w:rPr>
          <w:rFonts w:ascii="Times New Roman" w:eastAsia="PMingLiU" w:hAnsi="Times New Roman" w:cs="Times New Roman"/>
          <w:snapToGrid w:val="0"/>
          <w:szCs w:val="24"/>
        </w:rPr>
      </w:pPr>
      <w:r w:rsidRPr="00706F43">
        <w:rPr>
          <w:rFonts w:ascii="Times New Roman" w:eastAsia="PMingLiU" w:hAnsi="Times New Roman" w:hint="eastAsia"/>
          <w:b/>
          <w:snapToGrid w:val="0"/>
          <w:szCs w:val="24"/>
          <w:u w:val="single"/>
        </w:rPr>
        <w:t>通常計費金額計算</w:t>
      </w:r>
    </w:p>
    <w:p w14:paraId="1F4AA426" w14:textId="19AE33F9" w:rsidR="008C529B" w:rsidRPr="00706F43" w:rsidRDefault="00910E72" w:rsidP="008C529B">
      <w:pPr>
        <w:jc w:val="center"/>
        <w:rPr>
          <w:rFonts w:ascii="Times New Roman" w:eastAsia="PMingLiU" w:hAnsi="Times New Roman" w:cs="Times New Roman"/>
          <w:snapToGrid w:val="0"/>
          <w:szCs w:val="24"/>
        </w:rPr>
      </w:pPr>
      <w:r w:rsidRPr="00706F43">
        <w:rPr>
          <w:rFonts w:ascii="Times New Roman" w:eastAsia="PMingLiU" w:hAnsi="Times New Roman" w:hint="eastAsia"/>
          <w:szCs w:val="24"/>
        </w:rPr>
        <w:t xml:space="preserve">2020 </w:t>
      </w:r>
      <w:r w:rsidRPr="00706F43">
        <w:rPr>
          <w:rFonts w:ascii="Times New Roman" w:eastAsia="PMingLiU" w:hAnsi="Times New Roman" w:hint="eastAsia"/>
          <w:szCs w:val="24"/>
        </w:rPr>
        <w:t>年</w:t>
      </w:r>
      <w:r w:rsidRPr="00706F43">
        <w:rPr>
          <w:rFonts w:ascii="Times New Roman" w:eastAsia="PMingLiU" w:hAnsi="Times New Roman" w:hint="eastAsia"/>
          <w:szCs w:val="24"/>
        </w:rPr>
        <w:t xml:space="preserve"> 7 </w:t>
      </w:r>
      <w:r w:rsidRPr="00706F43">
        <w:rPr>
          <w:rFonts w:ascii="Times New Roman" w:eastAsia="PMingLiU" w:hAnsi="Times New Roman" w:hint="eastAsia"/>
          <w:szCs w:val="24"/>
        </w:rPr>
        <w:t>月</w:t>
      </w:r>
      <w:r w:rsidRPr="00706F43">
        <w:rPr>
          <w:rFonts w:ascii="Times New Roman" w:eastAsia="PMingLiU" w:hAnsi="Times New Roman" w:hint="eastAsia"/>
          <w:szCs w:val="24"/>
        </w:rPr>
        <w:t xml:space="preserve"> 1 </w:t>
      </w:r>
      <w:r w:rsidRPr="00706F43">
        <w:rPr>
          <w:rFonts w:ascii="Times New Roman" w:eastAsia="PMingLiU" w:hAnsi="Times New Roman" w:hint="eastAsia"/>
          <w:szCs w:val="24"/>
        </w:rPr>
        <w:t>日</w:t>
      </w:r>
    </w:p>
    <w:p w14:paraId="641DEE52" w14:textId="711E5C8E" w:rsidR="008C529B" w:rsidRPr="00706F43" w:rsidRDefault="008C529B" w:rsidP="4665250A">
      <w:pPr>
        <w:jc w:val="both"/>
        <w:rPr>
          <w:rFonts w:ascii="Times New Roman" w:eastAsia="Times New Roman" w:hAnsi="Times New Roman" w:cs="Times New Roman"/>
          <w:snapToGrid w:val="0"/>
          <w:szCs w:val="24"/>
        </w:rPr>
      </w:pPr>
    </w:p>
    <w:p w14:paraId="6B4CBCEB" w14:textId="5C4E461C" w:rsidR="008C529B" w:rsidRPr="00706F43" w:rsidRDefault="00325033" w:rsidP="008C529B">
      <w:pPr>
        <w:jc w:val="both"/>
        <w:rPr>
          <w:rFonts w:ascii="Times New Roman" w:eastAsia="PMingLiU" w:hAnsi="Times New Roman" w:cs="Times New Roman"/>
          <w:snapToGrid w:val="0"/>
          <w:color w:val="000000"/>
          <w:szCs w:val="24"/>
        </w:rPr>
      </w:pPr>
      <w:r>
        <w:rPr>
          <w:rFonts w:ascii="Times New Roman" w:eastAsia="PMingLiU" w:hAnsi="Times New Roman"/>
          <w:snapToGrid w:val="0"/>
          <w:szCs w:val="24"/>
        </w:rPr>
        <w:t>PAM Rehabilitation Hospital of Round Rock</w:t>
      </w:r>
      <w:r w:rsidR="00674B56" w:rsidRPr="00706F43">
        <w:rPr>
          <w:rFonts w:ascii="Times New Roman" w:eastAsia="PMingLiU" w:hAnsi="Times New Roman" w:hint="eastAsia"/>
          <w:snapToGrid w:val="0"/>
          <w:szCs w:val="24"/>
        </w:rPr>
        <w:t>使用「回溯」方法計算一個</w:t>
      </w:r>
      <w:r w:rsidR="00674B56" w:rsidRPr="00706F43">
        <w:rPr>
          <w:rFonts w:ascii="Times New Roman" w:eastAsia="PMingLiU" w:hAnsi="Times New Roman" w:hint="eastAsia"/>
          <w:snapToGrid w:val="0"/>
          <w:szCs w:val="24"/>
        </w:rPr>
        <w:t xml:space="preserve"> AGB </w:t>
      </w:r>
      <w:r w:rsidR="00674B56" w:rsidRPr="00706F43">
        <w:rPr>
          <w:rFonts w:ascii="Times New Roman" w:eastAsia="PMingLiU" w:hAnsi="Times New Roman" w:hint="eastAsia"/>
          <w:snapToGrid w:val="0"/>
          <w:szCs w:val="24"/>
        </w:rPr>
        <w:t>百分比，包括</w:t>
      </w:r>
      <w:r w:rsidR="00674B56" w:rsidRPr="00706F43">
        <w:rPr>
          <w:rFonts w:ascii="Times New Roman" w:eastAsia="PMingLiU" w:hAnsi="Times New Roman" w:hint="eastAsia"/>
          <w:snapToGrid w:val="0"/>
          <w:szCs w:val="24"/>
        </w:rPr>
        <w:t xml:space="preserve"> Medicare </w:t>
      </w:r>
      <w:r w:rsidR="00674B56" w:rsidRPr="00706F43">
        <w:rPr>
          <w:rFonts w:ascii="Times New Roman" w:eastAsia="PMingLiU" w:hAnsi="Times New Roman" w:hint="eastAsia"/>
          <w:snapToGrid w:val="0"/>
          <w:szCs w:val="24"/>
        </w:rPr>
        <w:t>醫療費及向組織支付索賠的所有私人醫療保險公司，全部依照</w:t>
      </w:r>
      <w:r w:rsidR="00674B56" w:rsidRPr="00706F43">
        <w:rPr>
          <w:rFonts w:ascii="Times New Roman" w:eastAsia="PMingLiU" w:hAnsi="Times New Roman" w:hint="eastAsia"/>
          <w:snapToGrid w:val="0"/>
          <w:szCs w:val="24"/>
        </w:rPr>
        <w:t xml:space="preserve"> IRS </w:t>
      </w:r>
      <w:r w:rsidR="00674B56" w:rsidRPr="00706F43">
        <w:rPr>
          <w:rFonts w:ascii="Times New Roman" w:eastAsia="PMingLiU" w:hAnsi="Times New Roman" w:hint="eastAsia"/>
          <w:snapToGrid w:val="0"/>
          <w:color w:val="000000"/>
          <w:szCs w:val="24"/>
        </w:rPr>
        <w:t>條例第</w:t>
      </w:r>
      <w:r w:rsidR="00674B56" w:rsidRPr="00706F43">
        <w:rPr>
          <w:rFonts w:ascii="Times New Roman" w:eastAsia="PMingLiU" w:hAnsi="Times New Roman" w:hint="eastAsia"/>
          <w:snapToGrid w:val="0"/>
          <w:color w:val="000000"/>
          <w:szCs w:val="24"/>
        </w:rPr>
        <w:t xml:space="preserve"> 1.501(r)-5(b)(3) </w:t>
      </w:r>
      <w:r w:rsidR="00674B56" w:rsidRPr="00706F43">
        <w:rPr>
          <w:rFonts w:ascii="Times New Roman" w:eastAsia="PMingLiU" w:hAnsi="Times New Roman" w:hint="eastAsia"/>
          <w:snapToGrid w:val="0"/>
          <w:color w:val="000000"/>
          <w:szCs w:val="24"/>
        </w:rPr>
        <w:t>款、第</w:t>
      </w:r>
      <w:r w:rsidR="00674B56" w:rsidRPr="00706F43">
        <w:rPr>
          <w:rFonts w:ascii="Times New Roman" w:eastAsia="PMingLiU" w:hAnsi="Times New Roman" w:hint="eastAsia"/>
          <w:snapToGrid w:val="0"/>
          <w:color w:val="000000"/>
          <w:szCs w:val="24"/>
        </w:rPr>
        <w:t xml:space="preserve"> 1.501(r)-5(b)(3)(ii)(B) </w:t>
      </w:r>
      <w:r w:rsidR="00674B56" w:rsidRPr="00706F43">
        <w:rPr>
          <w:rFonts w:ascii="Times New Roman" w:eastAsia="PMingLiU" w:hAnsi="Times New Roman" w:hint="eastAsia"/>
          <w:snapToGrid w:val="0"/>
          <w:color w:val="000000"/>
          <w:szCs w:val="24"/>
        </w:rPr>
        <w:t>款及第</w:t>
      </w:r>
      <w:r w:rsidR="00674B56" w:rsidRPr="00706F43">
        <w:rPr>
          <w:rFonts w:ascii="Times New Roman" w:eastAsia="PMingLiU" w:hAnsi="Times New Roman" w:hint="eastAsia"/>
          <w:snapToGrid w:val="0"/>
          <w:color w:val="000000"/>
          <w:szCs w:val="24"/>
        </w:rPr>
        <w:t xml:space="preserve"> 1.501(r)-5(b)(3)(iii) </w:t>
      </w:r>
      <w:r w:rsidR="00674B56" w:rsidRPr="00706F43">
        <w:rPr>
          <w:rFonts w:ascii="Times New Roman" w:eastAsia="PMingLiU" w:hAnsi="Times New Roman" w:hint="eastAsia"/>
          <w:snapToGrid w:val="0"/>
          <w:color w:val="000000"/>
          <w:szCs w:val="24"/>
        </w:rPr>
        <w:t>款。下文描述了計算方法及</w:t>
      </w:r>
      <w:r w:rsidR="00674B56" w:rsidRPr="00706F43">
        <w:rPr>
          <w:rFonts w:ascii="Times New Roman" w:eastAsia="PMingLiU" w:hAnsi="Times New Roman" w:hint="eastAsia"/>
          <w:snapToGrid w:val="0"/>
          <w:color w:val="000000"/>
          <w:szCs w:val="24"/>
        </w:rPr>
        <w:t xml:space="preserve"> AGB </w:t>
      </w:r>
      <w:r w:rsidR="00674B56" w:rsidRPr="00706F43">
        <w:rPr>
          <w:rFonts w:ascii="Times New Roman" w:eastAsia="PMingLiU" w:hAnsi="Times New Roman" w:hint="eastAsia"/>
          <w:snapToGrid w:val="0"/>
          <w:color w:val="000000"/>
          <w:szCs w:val="24"/>
        </w:rPr>
        <w:t>百分比的詳細資訊。</w:t>
      </w:r>
    </w:p>
    <w:p w14:paraId="79F86A3F" w14:textId="77777777" w:rsidR="008C529B" w:rsidRPr="00706F43" w:rsidRDefault="008C529B" w:rsidP="008C529B">
      <w:pPr>
        <w:jc w:val="both"/>
        <w:rPr>
          <w:rFonts w:ascii="Times New Roman" w:eastAsia="Times New Roman" w:hAnsi="Times New Roman" w:cs="Times New Roman"/>
          <w:snapToGrid w:val="0"/>
          <w:color w:val="000000"/>
          <w:szCs w:val="24"/>
        </w:rPr>
      </w:pPr>
    </w:p>
    <w:p w14:paraId="4A10DBDC" w14:textId="7D985A2B" w:rsidR="008C529B" w:rsidRPr="00706F43" w:rsidRDefault="008C529B" w:rsidP="008C529B">
      <w:pPr>
        <w:jc w:val="both"/>
        <w:rPr>
          <w:rFonts w:ascii="Times New Roman" w:eastAsia="PMingLiU" w:hAnsi="Times New Roman" w:cs="Times New Roman"/>
          <w:snapToGrid w:val="0"/>
          <w:szCs w:val="24"/>
        </w:rPr>
      </w:pPr>
      <w:r w:rsidRPr="00706F43">
        <w:rPr>
          <w:rFonts w:ascii="Times New Roman" w:eastAsia="PMingLiU" w:hAnsi="Times New Roman" w:hint="eastAsia"/>
          <w:snapToGrid w:val="0"/>
          <w:szCs w:val="24"/>
        </w:rPr>
        <w:t xml:space="preserve">Ascension Seton </w:t>
      </w:r>
      <w:r w:rsidRPr="00706F43">
        <w:rPr>
          <w:rFonts w:ascii="Times New Roman" w:eastAsia="PMingLiU" w:hAnsi="Times New Roman" w:hint="eastAsia"/>
          <w:snapToGrid w:val="0"/>
          <w:color w:val="000000"/>
          <w:szCs w:val="24"/>
        </w:rPr>
        <w:t>的</w:t>
      </w:r>
      <w:r w:rsidRPr="00706F43">
        <w:rPr>
          <w:rFonts w:ascii="Times New Roman" w:eastAsia="PMingLiU" w:hAnsi="Times New Roman" w:hint="eastAsia"/>
          <w:snapToGrid w:val="0"/>
          <w:color w:val="000000"/>
          <w:szCs w:val="24"/>
        </w:rPr>
        <w:t xml:space="preserve"> AGB </w:t>
      </w:r>
      <w:r w:rsidRPr="00706F43">
        <w:rPr>
          <w:rFonts w:ascii="Times New Roman" w:eastAsia="PMingLiU" w:hAnsi="Times New Roman" w:hint="eastAsia"/>
          <w:snapToGrid w:val="0"/>
          <w:color w:val="000000"/>
          <w:szCs w:val="24"/>
        </w:rPr>
        <w:t>百分比</w:t>
      </w:r>
      <w:r w:rsidRPr="00706F43">
        <w:rPr>
          <w:rFonts w:ascii="Times New Roman" w:eastAsia="PMingLiU" w:hAnsi="Times New Roman" w:hint="eastAsia"/>
          <w:snapToGrid w:val="0"/>
          <w:szCs w:val="24"/>
        </w:rPr>
        <w:t>如下：</w:t>
      </w:r>
    </w:p>
    <w:p w14:paraId="03CF7332" w14:textId="77777777" w:rsidR="008C529B" w:rsidRPr="00706F43" w:rsidRDefault="008C529B" w:rsidP="008C529B">
      <w:pPr>
        <w:jc w:val="both"/>
        <w:rPr>
          <w:rFonts w:ascii="Times New Roman" w:eastAsia="Times New Roman" w:hAnsi="Times New Roman" w:cs="Times New Roman"/>
          <w:snapToGrid w:val="0"/>
          <w:szCs w:val="24"/>
        </w:rPr>
      </w:pPr>
    </w:p>
    <w:p w14:paraId="65ECDFFD" w14:textId="1B3C414C" w:rsidR="00413816" w:rsidRPr="00706F43" w:rsidRDefault="008C529B" w:rsidP="008C529B">
      <w:pPr>
        <w:ind w:left="540"/>
        <w:jc w:val="both"/>
        <w:rPr>
          <w:rFonts w:ascii="Times New Roman" w:eastAsia="PMingLiU" w:hAnsi="Times New Roman" w:cs="Times New Roman"/>
          <w:snapToGrid w:val="0"/>
          <w:szCs w:val="24"/>
        </w:rPr>
      </w:pPr>
      <w:r w:rsidRPr="00706F43">
        <w:rPr>
          <w:rFonts w:ascii="Times New Roman" w:eastAsia="PMingLiU" w:hAnsi="Times New Roman" w:hint="eastAsia"/>
          <w:snapToGrid w:val="0"/>
          <w:szCs w:val="24"/>
        </w:rPr>
        <w:t>AGB</w:t>
      </w:r>
      <w:r w:rsidRPr="00706F43">
        <w:rPr>
          <w:rFonts w:ascii="Times New Roman" w:eastAsia="PMingLiU" w:hAnsi="Times New Roman" w:hint="eastAsia"/>
          <w:snapToGrid w:val="0"/>
          <w:szCs w:val="24"/>
        </w:rPr>
        <w:t>：</w:t>
      </w:r>
      <w:r w:rsidRPr="00706F43">
        <w:rPr>
          <w:rFonts w:ascii="Times New Roman" w:eastAsia="PMingLiU" w:hAnsi="Times New Roman" w:hint="eastAsia"/>
          <w:snapToGrid w:val="0"/>
          <w:szCs w:val="24"/>
        </w:rPr>
        <w:tab/>
      </w:r>
      <w:r w:rsidR="00325033">
        <w:rPr>
          <w:rFonts w:ascii="Times New Roman" w:eastAsia="PMingLiU" w:hAnsi="Times New Roman"/>
          <w:snapToGrid w:val="0"/>
          <w:szCs w:val="24"/>
        </w:rPr>
        <w:t>51.8%</w:t>
      </w:r>
    </w:p>
    <w:p w14:paraId="48830AB3" w14:textId="5B399D17" w:rsidR="008C529B" w:rsidRPr="00706F43" w:rsidRDefault="008C529B" w:rsidP="008C529B">
      <w:pPr>
        <w:ind w:left="540"/>
        <w:jc w:val="both"/>
        <w:rPr>
          <w:rFonts w:ascii="Times New Roman" w:eastAsia="Times New Roman" w:hAnsi="Times New Roman" w:cs="Times New Roman"/>
          <w:snapToGrid w:val="0"/>
          <w:szCs w:val="24"/>
        </w:rPr>
      </w:pPr>
    </w:p>
    <w:p w14:paraId="663E3E15" w14:textId="77777777" w:rsidR="008C529B" w:rsidRPr="00706F43" w:rsidRDefault="008C529B" w:rsidP="008C529B">
      <w:pPr>
        <w:jc w:val="both"/>
        <w:rPr>
          <w:rFonts w:ascii="Times New Roman" w:eastAsia="Times New Roman" w:hAnsi="Times New Roman" w:cs="Times New Roman"/>
          <w:snapToGrid w:val="0"/>
          <w:color w:val="000000"/>
          <w:szCs w:val="20"/>
        </w:rPr>
      </w:pPr>
    </w:p>
    <w:p w14:paraId="7CE08949" w14:textId="57384609" w:rsidR="008C529B" w:rsidRPr="00706F43" w:rsidRDefault="008C529B" w:rsidP="008C529B">
      <w:pPr>
        <w:tabs>
          <w:tab w:val="left" w:pos="-1080"/>
          <w:tab w:val="left" w:pos="-720"/>
          <w:tab w:val="left" w:pos="1080"/>
        </w:tabs>
        <w:jc w:val="both"/>
        <w:rPr>
          <w:rFonts w:ascii="Times New Roman" w:eastAsia="PMingLiU" w:hAnsi="Times New Roman" w:cs="Times New Roman"/>
          <w:snapToGrid w:val="0"/>
          <w:color w:val="000000"/>
          <w:szCs w:val="24"/>
        </w:rPr>
      </w:pPr>
      <w:r w:rsidRPr="00706F43">
        <w:rPr>
          <w:rFonts w:ascii="Times New Roman" w:eastAsia="PMingLiU" w:hAnsi="Times New Roman" w:hint="eastAsia"/>
          <w:snapToGrid w:val="0"/>
          <w:color w:val="000000"/>
          <w:szCs w:val="24"/>
        </w:rPr>
        <w:t>此</w:t>
      </w:r>
      <w:r w:rsidRPr="00706F43">
        <w:rPr>
          <w:rFonts w:ascii="Times New Roman" w:eastAsia="PMingLiU" w:hAnsi="Times New Roman" w:hint="eastAsia"/>
          <w:snapToGrid w:val="0"/>
          <w:color w:val="000000"/>
          <w:szCs w:val="24"/>
        </w:rPr>
        <w:t xml:space="preserve"> AGB </w:t>
      </w:r>
      <w:r w:rsidRPr="00706F43">
        <w:rPr>
          <w:rFonts w:ascii="Times New Roman" w:eastAsia="PMingLiU" w:hAnsi="Times New Roman" w:hint="eastAsia"/>
          <w:snapToGrid w:val="0"/>
          <w:color w:val="000000"/>
          <w:szCs w:val="24"/>
        </w:rPr>
        <w:t>百分比的計算方法為：</w:t>
      </w:r>
      <w:r w:rsidRPr="00706F43">
        <w:rPr>
          <w:rFonts w:ascii="Times New Roman" w:eastAsia="PMingLiU" w:hAnsi="Times New Roman" w:hint="eastAsia"/>
          <w:snapToGrid w:val="0"/>
          <w:color w:val="000000"/>
          <w:szCs w:val="24"/>
        </w:rPr>
        <w:t xml:space="preserve">Medicare </w:t>
      </w:r>
      <w:r w:rsidRPr="00706F43">
        <w:rPr>
          <w:rFonts w:ascii="Times New Roman" w:eastAsia="PMingLiU" w:hAnsi="Times New Roman" w:hint="eastAsia"/>
          <w:snapToGrid w:val="0"/>
          <w:color w:val="000000"/>
          <w:szCs w:val="24"/>
        </w:rPr>
        <w:t>醫療費以及向醫院機構支付索賠額的所有私人醫療保險公司允許的所有醫院機構急救及其他有醫學必要性護理的索賠金額總數，除以這些索賠的相關總費用。在確定</w:t>
      </w:r>
      <w:r w:rsidRPr="00706F43">
        <w:rPr>
          <w:rFonts w:ascii="Times New Roman" w:eastAsia="PMingLiU" w:hAnsi="Times New Roman" w:hint="eastAsia"/>
          <w:snapToGrid w:val="0"/>
          <w:color w:val="000000"/>
          <w:szCs w:val="24"/>
        </w:rPr>
        <w:t xml:space="preserve"> AGB </w:t>
      </w:r>
      <w:r w:rsidRPr="00706F43">
        <w:rPr>
          <w:rFonts w:ascii="Times New Roman" w:eastAsia="PMingLiU" w:hAnsi="Times New Roman" w:hint="eastAsia"/>
          <w:snapToGrid w:val="0"/>
          <w:color w:val="000000"/>
          <w:szCs w:val="24"/>
        </w:rPr>
        <w:t>時可以利用的唯一索賠額，是醫療保險公司在</w:t>
      </w:r>
      <w:r w:rsidRPr="00706F43">
        <w:rPr>
          <w:rFonts w:ascii="Times New Roman" w:eastAsia="PMingLiU" w:hAnsi="Times New Roman" w:hint="eastAsia"/>
          <w:snapToGrid w:val="0"/>
          <w:color w:val="000000"/>
          <w:szCs w:val="24"/>
        </w:rPr>
        <w:t xml:space="preserve"> AGB </w:t>
      </w:r>
      <w:r w:rsidRPr="00706F43">
        <w:rPr>
          <w:rFonts w:ascii="Times New Roman" w:eastAsia="PMingLiU" w:hAnsi="Times New Roman" w:hint="eastAsia"/>
          <w:snapToGrid w:val="0"/>
          <w:color w:val="000000"/>
          <w:szCs w:val="24"/>
        </w:rPr>
        <w:t>計算前</w:t>
      </w:r>
      <w:r w:rsidRPr="00706F43">
        <w:rPr>
          <w:rFonts w:ascii="Times New Roman" w:eastAsia="PMingLiU" w:hAnsi="Times New Roman" w:hint="eastAsia"/>
          <w:snapToGrid w:val="0"/>
          <w:color w:val="000000"/>
          <w:szCs w:val="24"/>
        </w:rPr>
        <w:t xml:space="preserve"> 12 </w:t>
      </w:r>
      <w:r w:rsidRPr="00706F43">
        <w:rPr>
          <w:rFonts w:ascii="Times New Roman" w:eastAsia="PMingLiU" w:hAnsi="Times New Roman" w:hint="eastAsia"/>
          <w:snapToGrid w:val="0"/>
          <w:color w:val="000000"/>
          <w:szCs w:val="24"/>
        </w:rPr>
        <w:t>個月期限內允許的索賠（而不是與在之前</w:t>
      </w:r>
      <w:r w:rsidRPr="00706F43">
        <w:rPr>
          <w:rFonts w:ascii="Times New Roman" w:eastAsia="PMingLiU" w:hAnsi="Times New Roman" w:hint="eastAsia"/>
          <w:snapToGrid w:val="0"/>
          <w:color w:val="000000"/>
          <w:szCs w:val="24"/>
        </w:rPr>
        <w:t xml:space="preserve"> 12 </w:t>
      </w:r>
      <w:r w:rsidRPr="00706F43">
        <w:rPr>
          <w:rFonts w:ascii="Times New Roman" w:eastAsia="PMingLiU" w:hAnsi="Times New Roman" w:hint="eastAsia"/>
          <w:snapToGrid w:val="0"/>
          <w:color w:val="000000"/>
          <w:szCs w:val="24"/>
        </w:rPr>
        <w:t>個月中所提供護理相關的索賠）。</w:t>
      </w:r>
    </w:p>
    <w:p w14:paraId="4CFFB7AB" w14:textId="77777777" w:rsidR="008C529B" w:rsidRPr="00706F43" w:rsidRDefault="008C529B" w:rsidP="008C529B">
      <w:pPr>
        <w:tabs>
          <w:tab w:val="left" w:pos="-1080"/>
          <w:tab w:val="left" w:pos="-720"/>
          <w:tab w:val="left" w:pos="1080"/>
        </w:tabs>
        <w:jc w:val="both"/>
        <w:rPr>
          <w:rFonts w:ascii="Times New Roman" w:eastAsia="Times New Roman" w:hAnsi="Times New Roman" w:cs="Times New Roman"/>
          <w:snapToGrid w:val="0"/>
          <w:color w:val="000000"/>
          <w:szCs w:val="24"/>
        </w:rPr>
      </w:pPr>
    </w:p>
    <w:p w14:paraId="78F47127" w14:textId="34E78797" w:rsidR="008C529B" w:rsidRPr="00706F43" w:rsidDel="00A83E87" w:rsidRDefault="008C529B" w:rsidP="4665250A">
      <w:pPr>
        <w:jc w:val="both"/>
        <w:rPr>
          <w:rFonts w:ascii="Times New Roman" w:eastAsia="Times New Roman" w:hAnsi="Times New Roman" w:cs="Times New Roman"/>
          <w:szCs w:val="24"/>
        </w:rPr>
      </w:pPr>
    </w:p>
    <w:p w14:paraId="4A2944FD" w14:textId="387A6CBC" w:rsidR="008C529B" w:rsidRPr="00706F43" w:rsidDel="00332279" w:rsidRDefault="008C529B" w:rsidP="4665250A">
      <w:pPr>
        <w:jc w:val="both"/>
        <w:rPr>
          <w:rFonts w:ascii="Times New Roman" w:eastAsia="Times New Roman" w:hAnsi="Times New Roman" w:cs="Times New Roman"/>
          <w:b/>
          <w:bCs/>
          <w:snapToGrid w:val="0"/>
          <w:szCs w:val="24"/>
        </w:rPr>
      </w:pPr>
      <w:bookmarkStart w:id="0" w:name="_GoBack"/>
      <w:bookmarkEnd w:id="0"/>
    </w:p>
    <w:sectPr w:rsidR="008C529B" w:rsidRPr="00706F43" w:rsidDel="00332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E25A5" w14:textId="77777777" w:rsidR="00BE5C42" w:rsidRDefault="00BE5C42" w:rsidP="008C529B">
      <w:r>
        <w:separator/>
      </w:r>
    </w:p>
  </w:endnote>
  <w:endnote w:type="continuationSeparator" w:id="0">
    <w:p w14:paraId="450A4796" w14:textId="77777777" w:rsidR="00BE5C42" w:rsidRDefault="00BE5C42" w:rsidP="008C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6D813" w14:textId="77777777" w:rsidR="00BE5C42" w:rsidRDefault="00BE5C42" w:rsidP="008C529B">
      <w:r>
        <w:separator/>
      </w:r>
    </w:p>
  </w:footnote>
  <w:footnote w:type="continuationSeparator" w:id="0">
    <w:p w14:paraId="55DA315E" w14:textId="77777777" w:rsidR="00BE5C42" w:rsidRDefault="00BE5C42" w:rsidP="008C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9B"/>
    <w:rsid w:val="00093C49"/>
    <w:rsid w:val="000B1F16"/>
    <w:rsid w:val="00325033"/>
    <w:rsid w:val="00332279"/>
    <w:rsid w:val="00413816"/>
    <w:rsid w:val="00432B43"/>
    <w:rsid w:val="00487D47"/>
    <w:rsid w:val="004F49E9"/>
    <w:rsid w:val="00641B3A"/>
    <w:rsid w:val="00674B56"/>
    <w:rsid w:val="00706F43"/>
    <w:rsid w:val="007728F4"/>
    <w:rsid w:val="00806CE8"/>
    <w:rsid w:val="0089058E"/>
    <w:rsid w:val="008C529B"/>
    <w:rsid w:val="00910E72"/>
    <w:rsid w:val="00A83E87"/>
    <w:rsid w:val="00AF0097"/>
    <w:rsid w:val="00BE5C42"/>
    <w:rsid w:val="00F922CA"/>
    <w:rsid w:val="40FAAE1F"/>
    <w:rsid w:val="4665250A"/>
    <w:rsid w:val="46BB0E37"/>
    <w:rsid w:val="572B70F8"/>
    <w:rsid w:val="6209FA7A"/>
    <w:rsid w:val="795FF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588CB"/>
  <w15:chartTrackingRefBased/>
  <w15:docId w15:val="{BA104206-C089-4C28-B3BC-23A78FF6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529B"/>
    <w:rPr>
      <w:sz w:val="20"/>
      <w:szCs w:val="20"/>
    </w:rPr>
  </w:style>
  <w:style w:type="character" w:customStyle="1" w:styleId="FootnoteTextChar">
    <w:name w:val="Footnote Text Char"/>
    <w:basedOn w:val="DefaultParagraphFont"/>
    <w:link w:val="FootnoteText"/>
    <w:uiPriority w:val="99"/>
    <w:semiHidden/>
    <w:rsid w:val="008C529B"/>
    <w:rPr>
      <w:sz w:val="20"/>
      <w:szCs w:val="20"/>
    </w:rPr>
  </w:style>
  <w:style w:type="character" w:styleId="FootnoteReference">
    <w:name w:val="footnote reference"/>
    <w:basedOn w:val="DefaultParagraphFont"/>
    <w:semiHidden/>
    <w:unhideWhenUsed/>
    <w:rsid w:val="008C529B"/>
    <w:rPr>
      <w:vertAlign w:val="superscript"/>
    </w:rPr>
  </w:style>
  <w:style w:type="table" w:styleId="TableGrid">
    <w:name w:val="Table Grid"/>
    <w:basedOn w:val="TableNormal"/>
    <w:uiPriority w:val="59"/>
    <w:rsid w:val="0041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097"/>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AF0097"/>
    <w:rPr>
      <w:rFonts w:ascii="Segoe UI" w:eastAsia="PMingLiU" w:hAnsi="Segoe UI" w:cs="Segoe UI"/>
      <w:sz w:val="18"/>
      <w:szCs w:val="18"/>
    </w:rPr>
  </w:style>
  <w:style w:type="paragraph" w:styleId="Header">
    <w:name w:val="header"/>
    <w:basedOn w:val="Normal"/>
    <w:link w:val="HeaderChar"/>
    <w:uiPriority w:val="99"/>
    <w:unhideWhenUsed/>
    <w:rsid w:val="00F922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922CA"/>
    <w:rPr>
      <w:sz w:val="18"/>
      <w:szCs w:val="18"/>
    </w:rPr>
  </w:style>
  <w:style w:type="paragraph" w:styleId="Footer">
    <w:name w:val="footer"/>
    <w:basedOn w:val="Normal"/>
    <w:link w:val="FooterChar"/>
    <w:uiPriority w:val="99"/>
    <w:unhideWhenUsed/>
    <w:rsid w:val="00F922C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922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9874">
      <w:bodyDiv w:val="1"/>
      <w:marLeft w:val="0"/>
      <w:marRight w:val="0"/>
      <w:marTop w:val="0"/>
      <w:marBottom w:val="0"/>
      <w:divBdr>
        <w:top w:val="none" w:sz="0" w:space="0" w:color="auto"/>
        <w:left w:val="none" w:sz="0" w:space="0" w:color="auto"/>
        <w:bottom w:val="none" w:sz="0" w:space="0" w:color="auto"/>
        <w:right w:val="none" w:sz="0" w:space="0" w:color="auto"/>
      </w:divBdr>
    </w:div>
    <w:div w:id="7437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D15C4FD58B6F44801A1C848A4E9929" ma:contentTypeVersion="9" ma:contentTypeDescription="Create a new document." ma:contentTypeScope="" ma:versionID="13fbb8644a50efc604cc27c2242f829c">
  <xsd:schema xmlns:xsd="http://www.w3.org/2001/XMLSchema" xmlns:xs="http://www.w3.org/2001/XMLSchema" xmlns:p="http://schemas.microsoft.com/office/2006/metadata/properties" xmlns:ns3="26bffc3d-74a4-44fa-abad-89e2780b3c08" xmlns:ns4="2f7e9189-faad-4b5d-891d-a56f67d41403" targetNamespace="http://schemas.microsoft.com/office/2006/metadata/properties" ma:root="true" ma:fieldsID="6d32635a446a71e43b22aa1206061d3e" ns3:_="" ns4:_="">
    <xsd:import namespace="26bffc3d-74a4-44fa-abad-89e2780b3c08"/>
    <xsd:import namespace="2f7e9189-faad-4b5d-891d-a56f67d414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ffc3d-74a4-44fa-abad-89e2780b3c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e9189-faad-4b5d-891d-a56f67d4140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F96E2-EB28-4180-A9FC-9DEA3260811B}">
  <ds:schemaRefs>
    <ds:schemaRef ds:uri="http://schemas.microsoft.com/sharepoint/v3/contenttype/forms"/>
  </ds:schemaRefs>
</ds:datastoreItem>
</file>

<file path=customXml/itemProps2.xml><?xml version="1.0" encoding="utf-8"?>
<ds:datastoreItem xmlns:ds="http://schemas.openxmlformats.org/officeDocument/2006/customXml" ds:itemID="{EBAD736E-4D74-4DB8-AA66-1D97C7EC1417}">
  <ds:schemaRef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2f7e9189-faad-4b5d-891d-a56f67d41403"/>
    <ds:schemaRef ds:uri="26bffc3d-74a4-44fa-abad-89e2780b3c08"/>
    <ds:schemaRef ds:uri="http://schemas.microsoft.com/office/2006/metadata/properties"/>
  </ds:schemaRefs>
</ds:datastoreItem>
</file>

<file path=customXml/itemProps3.xml><?xml version="1.0" encoding="utf-8"?>
<ds:datastoreItem xmlns:ds="http://schemas.openxmlformats.org/officeDocument/2006/customXml" ds:itemID="{DE7B5276-19B6-40A5-8868-E75B6EFC1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ffc3d-74a4-44fa-abad-89e2780b3c08"/>
    <ds:schemaRef ds:uri="2f7e9189-faad-4b5d-891d-a56f67d41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F0DC9817</Template>
  <TotalTime>1</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Arango</dc:creator>
  <cp:keywords/>
  <dc:description/>
  <cp:lastModifiedBy>Ilene Oken</cp:lastModifiedBy>
  <cp:revision>3</cp:revision>
  <dcterms:created xsi:type="dcterms:W3CDTF">2020-07-02T21:08:00Z</dcterms:created>
  <dcterms:modified xsi:type="dcterms:W3CDTF">2020-07-02T21:09:00Z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0x010100E6D15C4FD58B6F44801A1C848A4E9929</vt:lpwstr>
  </property>
</Properties>
</file>